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p>
      <w:pPr>
        <w:pStyle w:val="Title"/>
        <w:spacing w:after="200"/>
      </w:pPr>
      <w:r>
        <w:t xml:space="preserve">WDL Requirements Intake Template</w:t>
      </w:r>
    </w:p>
    <w:p/>
    <w:p>
      <w:r>
        <w:rPr>
          <w:rFonts w:ascii="Calibri" w:cs="Calibri" w:eastAsia="Calibri" w:hAnsi="Calibri"/>
          <w:sz w:val="22"/>
          <w:szCs w:val="22"/>
        </w:rPr>
        <w:t xml:space="preserve">Use this template to capture all the information a WDL developer needs to design, build, and validate a workflow. Complete each section as thoroughly as possible — the more detail provided upfront, the fewer iterations required during development.</w:t>
      </w:r>
    </w:p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1. Project Overview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Project Name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_[Enter project or workflow name]_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Requestor Name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 and role of the person requesting the WDL]_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Date Submitted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Target Completion Date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 or "No deadline"]_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Priority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_[Critical / High / Medium / Low]_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Business Justification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_[Why is this workflow needed? What problem does it solve?]_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2. Workflow Purpose and Scope</w:t>
      </w:r>
    </w:p>
    <w:p/>
    <w:p>
      <w:pPr>
        <w:pStyle w:val="Heading2"/>
        <w:spacing w:after="100" w:before="300"/>
      </w:pPr>
      <w:r>
        <w:t xml:space="preserve">2.1 High-Level Description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Provide a plain-language summary of what the workflow should accomplish from start to finish.</w:t>
      </w:r>
    </w:p>
    <w:p/>
    <w:p>
      <w:pPr>
        <w:spacing w:after="100" w:before="100"/>
        <w:ind w:left="72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[Enter description here]</w:t>
      </w:r>
    </w:p>
    <w:p/>
    <w:p>
      <w:pPr>
        <w:pStyle w:val="Heading2"/>
        <w:spacing w:after="100" w:before="300"/>
      </w:pPr>
      <w:r>
        <w:t xml:space="preserve">2.2 Scientific or Business Context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Describe the domain context. For bioinformatics workflows, include the biological question being addressed. For data processing workflows, describe the data domain.</w:t>
      </w:r>
    </w:p>
    <w:p/>
    <w:p>
      <w:pPr>
        <w:spacing w:after="100" w:before="100"/>
        <w:ind w:left="72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[Enter context here]</w:t>
      </w:r>
    </w:p>
    <w:p/>
    <w:p>
      <w:pPr>
        <w:pStyle w:val="Heading2"/>
        <w:spacing w:after="100" w:before="300"/>
      </w:pPr>
      <w:r>
        <w:t xml:space="preserve">2.3 Scope Boundaries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In Scope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Out of Scope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_[What the workflow WILL do]_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_[What the workflow will NOT do]_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3. Input Specifications</w:t>
      </w:r>
    </w:p>
    <w:p/>
    <w:p>
      <w:pPr>
        <w:pStyle w:val="Heading2"/>
        <w:spacing w:after="100" w:before="300"/>
      </w:pPr>
      <w:r>
        <w:t xml:space="preserve">3.1 Primary Inputs</w:t>
      </w:r>
    </w:p>
    <w:p/>
    <w:p>
      <w:r>
        <w:rPr>
          <w:rFonts w:ascii="Calibri" w:cs="Calibri" w:eastAsia="Calibri" w:hAnsi="Calibri"/>
          <w:sz w:val="22"/>
          <w:szCs w:val="22"/>
        </w:rPr>
        <w:t xml:space="preserve">For each input file or parameter the workflow requires, complete the following: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Input Name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Type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Format / Extension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Required?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Example Value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sample_bam]_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_[File / String / Int / Float / Boolean / Array]_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.bam]_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_[Yes / No]_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sample001.bam]_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_[What this input represents]_</w:t>
            </w:r>
          </w:p>
        </w:tc>
      </w:tr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pStyle w:val="Heading2"/>
        <w:spacing w:after="100" w:before="300"/>
      </w:pPr>
      <w:r>
        <w:t xml:space="preserve">3.2 Reference Data and Databases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Reference Name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Source / Version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File Format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Size (approx.)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Update Frequency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Access Location</w:t>
            </w:r>
          </w:p>
        </w:tc>
      </w:tr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hg38 reference genome]_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_[UCSC / Ensembl / NCBI]_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_[.fa / .fasta]_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3.2 GB]_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_[Static / Quarterly / Annual]_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_[URL or file path]_</w:t>
            </w:r>
          </w:p>
        </w:tc>
      </w:tr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pStyle w:val="Heading2"/>
        <w:spacing w:after="100" w:before="300"/>
      </w:pPr>
      <w:r>
        <w:t xml:space="preserve">3.3 Input Validation Rules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Describe any validation criteria that should be enforced on inputs before processing begins.</w:t>
      </w:r>
    </w:p>
    <w:p/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BAM files must be coordinate-sorted and indexed]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FASTQ files must be paired-end with matching read counts]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[...]</w:t>
      </w:r>
    </w:p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4. Expected Outputs</w:t>
      </w:r>
    </w:p>
    <w:p/>
    <w:p>
      <w:pPr>
        <w:pStyle w:val="Heading2"/>
        <w:spacing w:after="100" w:before="300"/>
      </w:pPr>
      <w:r>
        <w:t xml:space="preserve">4.1 Primary Outputs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Output Name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Format / Extension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Description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Downstream Consumer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aligned_bam]_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_[.bam]_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_[Aligned and sorted BAM file]_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_[Variant calling pipeline / Manual review]_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pStyle w:val="Heading2"/>
        <w:spacing w:after="100" w:before="300"/>
      </w:pPr>
      <w:r>
        <w:t xml:space="preserve">4.2 Intermediate Outputs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List any intermediate files that should be preserved (not just final outputs).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Output Name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Format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Reason to Retain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duplicate_metrics]_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_[.txt]_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_[QC reporting]_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pStyle w:val="Heading2"/>
        <w:spacing w:after="100" w:before="300"/>
      </w:pPr>
      <w:r>
        <w:t xml:space="preserve">4.3 Quality Control Outputs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QC Metric / Report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Format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Pass/Fail Criteria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alignment rate]_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_[.txt / .html]_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_[&gt;95% reads mapped]_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duplication rate]_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_[.txt]_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_[&lt;30% duplicates]_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5. Workflow Steps and Logic</w:t>
      </w:r>
    </w:p>
    <w:p/>
    <w:p>
      <w:pPr>
        <w:pStyle w:val="Heading2"/>
        <w:spacing w:after="100" w:before="300"/>
      </w:pPr>
      <w:r>
        <w:t xml:space="preserve">5.1 Step-by-Step Process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Describe each major processing step in order. For each step, include the tool, version, and key parameters.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Step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Task Name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Tool / Software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Key Parameters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FastQC]_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_[FastQC]_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_[v0.11.9]_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_[--threads 4]_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_[Raw read quality assessment]_</w:t>
            </w:r>
          </w:p>
        </w:tc>
      </w:tr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Trim]_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_[Trimmomatic]_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_[v0.39]_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_[LEADING:3 TRAILING:3]_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_[Adapter and quality trimming]_</w:t>
            </w:r>
          </w:p>
        </w:tc>
      </w:tr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pStyle w:val="Heading2"/>
        <w:spacing w:after="100" w:before="300"/>
      </w:pPr>
      <w:r>
        <w:t xml:space="preserve">5.2 Conditional Logic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Describe any branching or conditional steps in the workflow.</w:t>
      </w:r>
    </w:p>
    <w:p/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If sample is paired-end, run step X; if single-end, run step Y]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If QC fails, halt pipeline and notify]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[...]</w:t>
      </w:r>
    </w:p>
    <w:p/>
    <w:p>
      <w:pPr>
        <w:pStyle w:val="Heading2"/>
        <w:spacing w:after="100" w:before="300"/>
      </w:pPr>
      <w:r>
        <w:t xml:space="preserve">5.3 Scatter/Gather Operations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Describe any steps that should be parallelised across samples, chromosomes, or other units.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Scatter Variable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Scatter Over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Gather Method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sample_id]_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_[Array of sample BAMs]_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_[Merge output VCFs]_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chromosome]_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_[Array of chromosome intervals]_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_[Concatenate results]_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6. Compute and Runtime Requirements</w:t>
      </w:r>
    </w:p>
    <w:p/>
    <w:p>
      <w:pPr>
        <w:pStyle w:val="Heading2"/>
        <w:spacing w:after="100" w:before="300"/>
      </w:pPr>
      <w:r>
        <w:t xml:space="preserve">6.1 Per-Task Resource Estimates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Task Name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CPU Cores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Memory (GB)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Disk (GB)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GPU Required?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Estimated Runtime</w:t>
            </w:r>
          </w:p>
        </w:tc>
      </w:tr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BWA-MEM alignment]_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_[8]_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_[16]_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_[100]_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_[No]_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_[~2 hours per sample]_</w:t>
            </w:r>
          </w:p>
        </w:tc>
      </w:tr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GATK HaplotypeCaller]_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_[4]_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_[8]_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_[50]_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_[No]_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_[~1 hour per sample]_</w:t>
            </w:r>
          </w:p>
        </w:tc>
      </w:tr>
      <w:tr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16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pStyle w:val="Heading2"/>
        <w:spacing w:after="100" w:before="300"/>
      </w:pPr>
      <w:r>
        <w:t xml:space="preserve">6.2 Execution Environment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Target Platform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_[Cromwell / miniWDL / Terra / DNAnexus / AWS HealthOmics / Other]_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Backend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_[Local / HPC (Slurm/PBS) / Cloud (GCP/AWS/Azure)]_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Container Registry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_[Docker Hub / GCR / ECR / Quay.io / Custom]_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Preemptible/Spot Instances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_[Yes / No / Where possible]_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Maximum Retry Attempts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2]_</w:t>
            </w:r>
          </w:p>
        </w:tc>
      </w:tr>
    </w:tbl>
    <w:p/>
    <w:p/>
    <w:p>
      <w:pPr>
        <w:pStyle w:val="Heading2"/>
        <w:spacing w:after="100" w:before="300"/>
      </w:pPr>
      <w:r>
        <w:t xml:space="preserve">6.3 Docker Containers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Task Name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Docker Image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Tag / Version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Registry URL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BWA alignment]_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_[broadinstitute/bwa]_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_[0.7.17]_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_[docker.io/broadinstitute/bwa:0.7.17]_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7. Error Handling and Edge Cases</w:t>
      </w:r>
    </w:p>
    <w:p/>
    <w:p>
      <w:pPr>
        <w:pStyle w:val="Heading2"/>
        <w:spacing w:after="100" w:before="300"/>
      </w:pPr>
      <w:r>
        <w:t xml:space="preserve">7.1 Known Edge Cases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Describe any known edge cases or special conditions the workflow must handle.</w:t>
      </w:r>
    </w:p>
    <w:p/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Empty input files — workflow should skip processing and log a warning]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Very large samples (&gt;100GB) may require increased disk allocation]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[...]</w:t>
      </w:r>
    </w:p>
    <w:p/>
    <w:p>
      <w:pPr>
        <w:pStyle w:val="Heading2"/>
        <w:spacing w:after="100" w:before="300"/>
      </w:pPr>
      <w:r>
        <w:t xml:space="preserve">7.2 Failure Modes and Recovery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Failure Scenario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Expected Behaviour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Recovery Action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Tool exits with non-zero code]_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_[Task fails]_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_[Retry up to N times, then halt]_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Disk space exhausted]_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_[Task fails]_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_[Increase disk multiplier and retry]_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8. Testing and Validation</w:t>
      </w:r>
    </w:p>
    <w:p/>
    <w:p>
      <w:pPr>
        <w:pStyle w:val="Heading2"/>
        <w:spacing w:after="100" w:before="300"/>
      </w:pPr>
      <w:r>
        <w:t xml:space="preserve">8.1 Test Data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Dataset Name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Size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Location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NA12878 downsampled]_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_[~1 GB]_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_[gs://bucket/test-data/]_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_[Standard reference sample for validation]_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pStyle w:val="Heading2"/>
        <w:spacing w:after="100" w:before="300"/>
      </w:pPr>
      <w:r>
        <w:t xml:space="preserve">8.2 Acceptance Criteria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Define what "done" looks like. How will you validate the workflow produces correct results?</w:t>
      </w:r>
    </w:p>
    <w:p/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Output VCF matches expected variants in truth set with &gt;99% sensitivity]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Workflow completes successfully on all 5 test samples]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Runtime is within 20% of estimated duration]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[...]</w:t>
      </w:r>
    </w:p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9. Metadata and Governance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Data Classification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_[Public / Internal / Confidential / Restricted]_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Compliance Requirements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_[HIPAA / GDPR / GxP / None]_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Data Retention Policy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Retain outputs for 7 years]_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Audit Trail Required?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_[Yes / No]_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Version Control Repository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github.com/org/repo]_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WDL Version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_[1.0 / 1.1 / development]_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10. Stakeholders and Approvals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Name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Sign-off Required?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Requestor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_[email]_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_[Yes]_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WDL Developer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_[email]_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_[Yes]_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Scientific Lead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_[email]_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_[Yes / No]_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DevOps / Platform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_[email]_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_[Yes / No]_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Data Governance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_[email]_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_[Yes / No]_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11. Additional Notes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Include any additional context, links to related documentation, diagrams, or references that would help the WDL developer.</w:t>
      </w:r>
    </w:p>
    <w:p/>
    <w:p>
      <w:pPr>
        <w:spacing w:after="100" w:before="100"/>
        <w:ind w:left="72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[Enter any additional notes here]</w:t>
      </w:r>
    </w:p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Revision History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Author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Changes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_[Initial submission]_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2026-03-19T10:04:49.757Z</dcterms:created>
  <dcterms:modified xsi:type="dcterms:W3CDTF">2026-03-19T10:04:49.757Z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